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</w:t>
      </w:r>
      <w:r w:rsidDel="00000000" w:rsidR="00000000" w:rsidRPr="00000000">
        <w:rPr>
          <w:rtl w:val="0"/>
        </w:rPr>
      </w:r>
    </w:p>
    <w:tbl>
      <w:tblPr>
        <w:tblStyle w:val="Table1"/>
        <w:tblW w:w="3292.0" w:type="dxa"/>
        <w:jc w:val="left"/>
        <w:tblInd w:w="0.0" w:type="dxa"/>
        <w:tblLayout w:type="fixed"/>
        <w:tblLook w:val="0000"/>
      </w:tblPr>
      <w:tblGrid>
        <w:gridCol w:w="3292"/>
        <w:tblGridChange w:id="0">
          <w:tblGrid>
            <w:gridCol w:w="3292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1913255" cy="843280"/>
                  <wp:effectExtent b="0" l="0" r="0" t="0"/>
                  <wp:docPr descr="Polito_Logo_2021_BLU" id="1026" name="image1.png"/>
                  <a:graphic>
                    <a:graphicData uri="http://schemas.openxmlformats.org/drawingml/2006/picture">
                      <pic:pic>
                        <pic:nvPicPr>
                          <pic:cNvPr descr="Polito_Logo_2021_BLU"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3255" cy="84328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IL POLITECNICO DI TORINO PER BIENNALE DEMOCRAZIA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Prosegue la collaborazione tra l’Ateneo e la Biennale, nell’ottica di una contaminazione tra saperi tecnici e umanistici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Come ricordava il presidente di Biennale Democrazia Gustavo Zagrebelsky, in un dialogo al Politecnico di Torino, la filosofia e le scienze umane non sono sufficienti a interpretare il mondo prescindendo da una 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cultura politecnica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Una necessità che riconosce il bisogno di dare maggiore spazio alle scienze umane e sociali nei percorsi formativi delle scuole tecniche, necessità che al Politecnico ha ormai trovato risposte concrete come </w:t>
      </w:r>
      <w:r w:rsidDel="00000000" w:rsidR="00000000" w:rsidRPr="00000000">
        <w:rPr>
          <w:rFonts w:ascii="Century Gothic" w:cs="Century Gothic" w:eastAsia="Century Gothic" w:hAnsi="Century Gothic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Biennale Tecnologia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organizzata dall’Ateneo, o il percorso formativo </w:t>
      </w:r>
      <w:r w:rsidDel="00000000" w:rsidR="00000000" w:rsidRPr="00000000">
        <w:rPr>
          <w:rFonts w:ascii="Century Gothic" w:cs="Century Gothic" w:eastAsia="Century Gothic" w:hAnsi="Century Gothic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Grandi Sfide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che partirà il prossimo anno accademico.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Da questi presupposti nasce la </w:t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collaborazione tra il Politecnico di Torino e Biennale Democrazia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cresciuta negli anni partendo nel 2018 dal riconoscimento del </w:t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Rettore Guido Saracco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nel </w:t>
      </w:r>
      <w:r w:rsidDel="00000000" w:rsidR="00000000" w:rsidRPr="00000000">
        <w:rPr>
          <w:rFonts w:ascii="Century Gothic" w:cs="Century Gothic" w:eastAsia="Century Gothic" w:hAnsi="Century Gothic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Comitato dei Garanti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entury Gothic" w:cs="Century Gothic" w:eastAsia="Century Gothic" w:hAnsi="Century Gothic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della Biennale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e nel </w:t>
      </w:r>
      <w:r w:rsidDel="00000000" w:rsidR="00000000" w:rsidRPr="00000000">
        <w:rPr>
          <w:rFonts w:ascii="Century Gothic" w:cs="Century Gothic" w:eastAsia="Century Gothic" w:hAnsi="Century Gothic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Comitato di Indirizzo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della manifestazione</w:t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</w:t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Juan Carlos De Martin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Delegato del Rettore per la Cultura e la Comunicazione, e</w:t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Arianna Montorsi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Referente del Rettore per la parità di genere e la diversity.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Dal 2020</w:t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il Politecnico propone poi Biennale Tecnologia, un evento che si alterna a Biennale Democrazia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in un dialogo interdisciplinare, pensato per diventare un momento di incontro e confronto tra pensatori, ricercatori, imprenditori, studenti e innovatori nazionali e internazionali con l’intento di esplorare il rapporto tra tecnologia e società con un approccio umanistico e democratico.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Quest’anno, la collaborazione con Biennale Democrazia si allarga.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Il Politecnico, come nelle passate edizioni,</w:t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ospiterà alcuni eventi del programma 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presso l’Aula Magna Giovanni Agnelli – 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“Tra Bio e Dio. Il cibo tra etica e dietetica” 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 Marino Niola introdotto da Debora Fino; 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“Il giornalismo alla prova della pandemia”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con Francesco Costa; 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“Transaction. Esercizi teorico-pratici di transizione”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con Cristiano Bottone, Alex Braga e Andrea Colamedici; 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“Conflitti tra mondi. Pluralismo politico e istituzioni internazionali” 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 Maria Rosaria Ferrarese e Carlo Galli; 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“Movimenti sociali e innovazione dal basso”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con Donatella Della Porta; 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“Immaginari reali e artificiali, tra utopia e distopia”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con Simone Arcagni e Vincenza Pellegrino.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Oltre ad ospitare questi incontri, il Politecnico, nell’ambito di Biennale Tecnologia, propone </w:t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tre appuntamenti per il programma di Biennale Democrazia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 presso il </w:t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Teatro Carignano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“L’informazione pubblica ha un futuro?”,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con Lucia Annunziata e Marco d’Eramo e 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“Big Tech: l’ora della responsabilità,”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con Tommaso Valletti e presso l’Aula Magna della </w:t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Cavallerizza Reale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“Lavorare sotto il controllo di un algoritmo”,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con Antonio Casilli e Chiara Mancini; nel </w:t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complesso Aldo Moro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è in 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programma “Il nuovo nel vecchio. La città del futuro”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incontro organizzato in collaborazione con il </w:t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China Center del Politecnico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con Michele Bonino e Francesca Governa in collegamento con Gong Dong.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Da segnalare infine il </w:t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dialogo di Juan Carlos De Martin e Maria Chiara Carrozza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dal titolo 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“Umano e tecnologico”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e la </w:t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mostra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“China Goes Urban. La nuova epoca della città”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presso il </w:t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MAO Museo d’arte Orientale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curata dal Politecnico e Prospekt Photographers, inserita anche nel programma di Biennale Democrazia.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6838" w:w="11906" w:orient="portrait"/>
      <w:pgMar w:bottom="1276" w:top="540" w:left="1134" w:right="1134" w:header="720" w:footer="8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Trebuchet MS"/>
  <w:font w:name="Poppins Ligh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Century Gothic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638.0" w:type="dxa"/>
      <w:jc w:val="left"/>
      <w:tblInd w:w="0.0" w:type="pct"/>
      <w:tblLayout w:type="fixed"/>
      <w:tblLook w:val="0000"/>
    </w:tblPr>
    <w:tblGrid>
      <w:gridCol w:w="3828"/>
      <w:gridCol w:w="424"/>
      <w:gridCol w:w="5386"/>
      <w:tblGridChange w:id="0">
        <w:tblGrid>
          <w:gridCol w:w="3828"/>
          <w:gridCol w:w="424"/>
          <w:gridCol w:w="5386"/>
        </w:tblGrid>
      </w:tblGridChange>
    </w:tblGrid>
    <w:tr>
      <w:trPr>
        <w:cantSplit w:val="0"/>
        <w:tblHeader w:val="0"/>
      </w:trPr>
      <w:tc>
        <w:tcPr>
          <w:vAlign w:val="top"/>
        </w:tcPr>
        <w:p w:rsidR="00000000" w:rsidDel="00000000" w:rsidP="00000000" w:rsidRDefault="00000000" w:rsidRPr="00000000" w14:paraId="0000001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819"/>
              <w:tab w:val="right" w:pos="9638"/>
            </w:tabs>
            <w:spacing w:after="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4472c4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entury Gothic" w:cs="Century Gothic" w:eastAsia="Century Gothic" w:hAnsi="Century Gothic"/>
              <w:b w:val="1"/>
              <w:i w:val="0"/>
              <w:smallCaps w:val="0"/>
              <w:strike w:val="0"/>
              <w:color w:val="ed7b21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COMUNICAZIONE E RELAZIONI CON I MEDIA     POLITECNICO DI TORINO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1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                          </w:t>
          </w:r>
          <w:r w:rsidDel="00000000" w:rsidR="00000000" w:rsidRPr="00000000">
            <w:rPr>
              <w:rtl w:val="0"/>
            </w:rPr>
          </w:r>
        </w:p>
      </w:tc>
      <w:tc>
        <w:tcPr>
          <w:vAlign w:val="top"/>
        </w:tcPr>
        <w:p w:rsidR="00000000" w:rsidDel="00000000" w:rsidP="00000000" w:rsidRDefault="00000000" w:rsidRPr="00000000" w14:paraId="0000001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819"/>
              <w:tab w:val="right" w:pos="9638"/>
            </w:tabs>
            <w:spacing w:after="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4472c4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top"/>
        </w:tcPr>
        <w:p w:rsidR="00000000" w:rsidDel="00000000" w:rsidP="00000000" w:rsidRDefault="00000000" w:rsidRPr="00000000" w14:paraId="0000001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819"/>
              <w:tab w:val="right" w:pos="9638"/>
            </w:tabs>
            <w:spacing w:after="0" w:before="0" w:line="240" w:lineRule="auto"/>
            <w:ind w:left="0" w:right="0" w:firstLine="0"/>
            <w:jc w:val="righ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ed7b21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entury Gothic" w:cs="Century Gothic" w:eastAsia="Century Gothic" w:hAnsi="Century Gothic"/>
              <w:b w:val="0"/>
              <w:i w:val="0"/>
              <w:smallCaps w:val="0"/>
              <w:strike w:val="0"/>
              <w:color w:val="ed7b21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 Resp. Elena Foglia Franke                                                                   Felice Balzano, Marzia Brandolese, Silvia Brannetti, David Trangoni              tel. +39 011 0906286  –  relazioni.media@polito.it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Poppins Light" w:cs="Poppins Light" w:eastAsia="Poppins Light" w:hAnsi="Poppins Light"/>
        <w:b w:val="0"/>
        <w:i w:val="0"/>
        <w:smallCaps w:val="0"/>
        <w:strike w:val="0"/>
        <w:color w:val="ed7b21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1">
    <w:name w:val="Titolo 1"/>
    <w:basedOn w:val="Normale"/>
    <w:next w:val="Titolo1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kern w:val="36"/>
      <w:position w:val="-1"/>
      <w:sz w:val="48"/>
      <w:szCs w:val="48"/>
      <w:effect w:val="none"/>
      <w:vertAlign w:val="baseline"/>
      <w:cs w:val="0"/>
      <w:em w:val="none"/>
      <w:lang w:bidi="ar-SA" w:eastAsia="zh-CN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1z0">
    <w:name w:val="WW8Num1z0"/>
    <w:next w:val="WW8Num1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Car.predefinitoparagrafo1">
    <w:name w:val="Car. predefinito paragrafo1"/>
    <w:next w:val="Car.predefinitoparagrafo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Enfasi(grassetto)">
    <w:name w:val="Enfasi (grassetto)"/>
    <w:next w:val="Enfasi(grassetto)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IntestazioneCarattere">
    <w:name w:val="Intestazione Carattere"/>
    <w:next w:val="IntestazioneCarattere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Rimandocommento1">
    <w:name w:val="Rimando commento1"/>
    <w:next w:val="Rimandocommento1"/>
    <w:autoRedefine w:val="0"/>
    <w:hidden w:val="0"/>
    <w:qFormat w:val="0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TestocommentoCarattere">
    <w:name w:val="Testo commento Carattere"/>
    <w:next w:val="Testocommento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oggettocommentoCarattere">
    <w:name w:val="Soggetto commento Carattere"/>
    <w:next w:val="SoggettocommentoCarattere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PièdipaginaCarattere">
    <w:name w:val="Piè di pagina Carattere"/>
    <w:next w:val="PièdipaginaCarattere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Heading">
    <w:name w:val="Heading"/>
    <w:basedOn w:val="Normale"/>
    <w:next w:val="Corpotesto"/>
    <w:autoRedefine w:val="0"/>
    <w:hidden w:val="0"/>
    <w:qFormat w:val="0"/>
    <w:pPr>
      <w:keepNext w:val="1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Lohit Hindi" w:eastAsia="Droid Sans Fallback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it-IT"/>
    </w:rPr>
  </w:style>
  <w:style w:type="paragraph" w:styleId="Corpotesto">
    <w:name w:val="Corpo testo"/>
    <w:basedOn w:val="Normale"/>
    <w:next w:val="Corpotesto"/>
    <w:autoRedefine w:val="0"/>
    <w:hidden w:val="0"/>
    <w:qFormat w:val="0"/>
    <w:pPr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Elenco">
    <w:name w:val="Elenco"/>
    <w:basedOn w:val="Corpotesto"/>
    <w:next w:val="Elenco"/>
    <w:autoRedefine w:val="0"/>
    <w:hidden w:val="0"/>
    <w:qFormat w:val="0"/>
    <w:pPr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Didascalia">
    <w:name w:val="Didascalia"/>
    <w:basedOn w:val="Normale"/>
    <w:next w:val="Didascalia"/>
    <w:autoRedefine w:val="0"/>
    <w:hidden w:val="0"/>
    <w:qFormat w:val="0"/>
    <w:pPr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Index">
    <w:name w:val="Index"/>
    <w:basedOn w:val="Normale"/>
    <w:next w:val="Index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nd"/>
    </w:rPr>
  </w:style>
  <w:style w:type="paragraph" w:styleId="Sottotitolo">
    <w:name w:val="Sottotitolo"/>
    <w:basedOn w:val="Normale"/>
    <w:next w:val="Corpotesto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ahoma" w:cs="Tahoma" w:hAnsi="Tahoma"/>
      <w:b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Normale(Web)">
    <w:name w:val="Normale (Web)"/>
    <w:basedOn w:val="Normale"/>
    <w:next w:val="Normale(Web)"/>
    <w:autoRedefine w:val="0"/>
    <w:hidden w:val="0"/>
    <w:qFormat w:val="0"/>
    <w:pPr>
      <w:suppressAutoHyphens w:val="0"/>
      <w:spacing w:after="119" w:before="28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nd"/>
    </w:rPr>
  </w:style>
  <w:style w:type="paragraph" w:styleId="Testofumetto">
    <w:name w:val="Testo fumetto"/>
    <w:basedOn w:val="Normale"/>
    <w:next w:val="Testofumetto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zh-CN" w:val="und"/>
    </w:rPr>
  </w:style>
  <w:style w:type="paragraph" w:styleId="Testocommento1">
    <w:name w:val="Testo commento1"/>
    <w:basedOn w:val="Normale"/>
    <w:next w:val="Testocommento1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und"/>
    </w:rPr>
  </w:style>
  <w:style w:type="paragraph" w:styleId="Soggettocommento">
    <w:name w:val="Soggetto commento"/>
    <w:basedOn w:val="Testocommento1"/>
    <w:next w:val="Testocommento1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und"/>
    </w:rPr>
  </w:style>
  <w:style w:type="paragraph" w:styleId="WW-Default">
    <w:name w:val="WW-Default"/>
    <w:next w:val="WW-Default"/>
    <w:autoRedefine w:val="0"/>
    <w:hidden w:val="0"/>
    <w:qFormat w:val="0"/>
    <w:pPr>
      <w:suppressAutoHyphens w:val="0"/>
      <w:autoSpaceDE w:val="0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Framecontents">
    <w:name w:val="Frame contents"/>
    <w:basedOn w:val="Corpotesto"/>
    <w:next w:val="Framecontents"/>
    <w:autoRedefine w:val="0"/>
    <w:hidden w:val="0"/>
    <w:qFormat w:val="0"/>
    <w:pPr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character" w:styleId="Collegamentovisitato">
    <w:name w:val="Collegamento visitato"/>
    <w:next w:val="Collegamentovisitato"/>
    <w:autoRedefine w:val="0"/>
    <w:hidden w:val="0"/>
    <w:qFormat w:val="1"/>
    <w:rPr>
      <w:color w:val="954f72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Menzionenonrisolta">
    <w:name w:val="Menzione non risolta"/>
    <w:next w:val="Menzionenonrisolta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character" w:styleId="Rimandocommento">
    <w:name w:val="Rimando commento"/>
    <w:next w:val="Rimandocommento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Testocommento">
    <w:name w:val="Testo commento"/>
    <w:basedOn w:val="Normale"/>
    <w:next w:val="Testocommento"/>
    <w:autoRedefine w:val="0"/>
    <w:hidden w:val="0"/>
    <w:qFormat w:val="1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it-IT"/>
    </w:rPr>
  </w:style>
  <w:style w:type="character" w:styleId="TestocommentoCarattere1">
    <w:name w:val="Testo commento Carattere1"/>
    <w:next w:val="TestocommentoCarattere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zh-CN" w:val="it-IT"/>
    </w:rPr>
  </w:style>
  <w:style w:type="table" w:styleId="Grigliatabella">
    <w:name w:val="Griglia tabella"/>
    <w:basedOn w:val="Tabellanormale"/>
    <w:next w:val="Grigliatabel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Grigliatabel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Titolo1Carattere">
    <w:name w:val="Titolo 1 Carattere"/>
    <w:next w:val="Titolo1Carattere"/>
    <w:autoRedefine w:val="0"/>
    <w:hidden w:val="0"/>
    <w:qFormat w:val="0"/>
    <w:rPr>
      <w:b w:val="1"/>
      <w:bCs w:val="1"/>
      <w:w w:val="100"/>
      <w:kern w:val="36"/>
      <w:position w:val="-1"/>
      <w:sz w:val="48"/>
      <w:szCs w:val="48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Light-regular.ttf"/><Relationship Id="rId2" Type="http://schemas.openxmlformats.org/officeDocument/2006/relationships/font" Target="fonts/PoppinsLight-bold.ttf"/><Relationship Id="rId3" Type="http://schemas.openxmlformats.org/officeDocument/2006/relationships/font" Target="fonts/PoppinsLight-italic.ttf"/><Relationship Id="rId4" Type="http://schemas.openxmlformats.org/officeDocument/2006/relationships/font" Target="fonts/PoppinsLight-boldItalic.ttf"/><Relationship Id="rId5" Type="http://schemas.openxmlformats.org/officeDocument/2006/relationships/font" Target="fonts/CenturyGothic-regular.ttf"/><Relationship Id="rId6" Type="http://schemas.openxmlformats.org/officeDocument/2006/relationships/font" Target="fonts/CenturyGothic-bold.ttf"/><Relationship Id="rId7" Type="http://schemas.openxmlformats.org/officeDocument/2006/relationships/font" Target="fonts/CenturyGothic-italic.ttf"/><Relationship Id="rId8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97GMlVqufz5F1nbw9TYJuyonLw==">AMUW2mXMmf2/pntfsoaNq89yacSbmn4s3VsiURSdsd9PD4EE4qfYgFUN0OjTqB3sQ6Djfg4yc3aITAkH2mQZ/h5UZhqxtlepn/EvJ2q48MgL1oorrDbHhjI=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2021-09-09T12:37:00Z</dcterms:created>
  <dc:creator>M Resp. Elena Foglia Franke                                                               Felice Balzano, Marzia Brandolese, Silvia Brannetti, David Trangoni              tel. +39 011 0906286  –  relazioni.media@polito.it</dc:creator>
</cp:coreProperties>
</file>